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6-k.htm"/>
      <w:bookmarkStart w:id="1" w:name="ksform6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001-42469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Uni-Fuels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Temasek Boulevard, Suntec Tower 2 #19-03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038989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Notification Regarding Minimum Bid Price Deficiency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Uni-Fuels Holdings Limited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received a letter (the “</w:t>
      </w:r>
      <w:r>
        <w:rPr>
          <w:rFonts w:ascii="Times New Roman;Times;Serif" w:hAnsi="Times New Roman;Times;Serif"/>
          <w:b/>
          <w:i w:val="false"/>
          <w:caps w:val="false"/>
          <w:smallCaps w:val="false"/>
          <w:sz w:val="20"/>
        </w:rPr>
        <w:t>Nasdaq Letter</w:t>
      </w:r>
      <w:r>
        <w:rPr>
          <w:rFonts w:ascii="Times New Roman;Times;Serif" w:hAnsi="Times New Roman;Times;Serif"/>
          <w:b w:val="false"/>
          <w:i w:val="false"/>
          <w:caps w:val="false"/>
          <w:smallCaps w:val="false"/>
          <w:sz w:val="20"/>
        </w:rPr>
        <w:t>”) from the staff at Nasdaq Stock Market LLC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notifying the Company that it is not in compliance with the requirement to maintain a minimum closing bid price of $1 per share, as set forth in Nasdaq Listing Rule 5550(a)(2), because the closing bid price of the Company’s class A ordinary shares was below $1 per share for the last 30 consecutive business days (i.e. from June 11, 2026 to July 24, 2026). The Nasdaq Letter is only a notification of deficiency. It does not result in the immediate delisting and has no current effect on the listing or trading of the Company’s class A ordinary shares on the Nasdaq Capital Market at this time.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Nasdaq Listing Rule 5810(c)(3)(A), the Company has 180 calendar days, or until January 25, 2027 (the “</w:t>
      </w:r>
      <w:r>
        <w:rPr>
          <w:rFonts w:ascii="Times New Roman;Times;Serif" w:hAnsi="Times New Roman;Times;Serif"/>
          <w:b/>
          <w:i w:val="false"/>
          <w:caps w:val="false"/>
          <w:smallCaps w:val="false"/>
          <w:sz w:val="20"/>
        </w:rPr>
        <w:t>Compliance Period</w:t>
      </w:r>
      <w:r>
        <w:rPr>
          <w:rFonts w:ascii="Times New Roman;Times;Serif" w:hAnsi="Times New Roman;Times;Serif"/>
          <w:b w:val="false"/>
          <w:i w:val="false"/>
          <w:caps w:val="false"/>
          <w:smallCaps w:val="false"/>
          <w:sz w:val="20"/>
        </w:rPr>
        <w:t>”), to regain compliance with the minimum bid price requirement. To regain compliance with the minimum bid price requirement, the closing bid price of the Company’s class A ordinary shares must be at least $1.00 per share for a minimum of 10 consecutive business days at any time prior to the expiration of Compliance Period. If the Company regains compliance with the minimum bid price requirement within the Compliance Period, Nasdaq will provide the Company with written confirmation and will close the matter. If the Company chooses to implement a reverse stock split, it must complete the split no later than ten business days prior to January 25, 2027 in order to regain compliance.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does not regain compliance by January 25, 2027, the Company may be eligible for an additional 180 calendar day compliance period. To qualify, the Company will be required to meet the continued listing requirement for market value of publicly held shares and all other initial listing standards for the Nasdaq Capital Market, with the exception of the bid price requirement, and will need to provide written notice of its intention to cure the deficiency during the second compliance period, by effecting a reverse stock split, if necessary. If the Company meets these requirements, Nasdaq will inform the Company that it has been granted an additional 180 calendar days. However, if it appears to Nasdaq that the Company will not be able to cure the deficiency, or if the Company is otherwise not eligible, Nasdaq will provide notice that its securities will be subject to delisting.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monitoring the closing bid price of its class A ordinary shares and evaluating options to regain compliance with the minimum bid price requirement, including by effecting a reverse stock split, if necessary. However, there can be no assurance that the Company will be able to timely regain or maintain compliance with Nasdaq’s continued listing requirement.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a press release on this development on July 31, 2026, a copy of which is attached hereto as Exhibit 99.1 and is incorporated herein by reference.</w:t>
      </w:r>
    </w:p>
    <w:p>
      <w:pPr>
        <w:pStyle w:val="TextBody"/>
        <w:bidi w:val="0"/>
        <w:spacing w:before="0" w:after="0"/>
        <w:ind w:left="45"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45" w:right="0" w:hanging="0"/>
        <w:jc w:val="both"/>
        <w:rPr>
          <w:caps w:val="false"/>
          <w:smallCaps w:val="false"/>
        </w:rPr>
      </w:pPr>
      <w:r>
        <w:rPr>
          <w:caps w:val="false"/>
          <w:smallCaps w:val="false"/>
        </w:rPr>
        <w:t> </w:t>
      </w:r>
    </w:p>
    <w:p>
      <w:pPr>
        <w:pStyle w:val="TextBody"/>
        <w:bidi w:val="0"/>
        <w:spacing w:before="0" w:after="0"/>
        <w:ind w:left="4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SIGNATURES</w:t>
      </w:r>
    </w:p>
    <w:p>
      <w:pPr>
        <w:pStyle w:val="TextBody"/>
        <w:bidi w:val="0"/>
        <w:spacing w:before="0" w:after="0"/>
        <w:ind w:left="45" w:right="0" w:hanging="0"/>
        <w:jc w:val="both"/>
        <w:rPr>
          <w:caps w:val="false"/>
          <w:smallCaps w:val="false"/>
        </w:rPr>
      </w:pPr>
      <w:r>
        <w:rPr>
          <w:caps w:val="false"/>
          <w:smallCaps w:val="false"/>
        </w:rPr>
        <w:t> </w:t>
      </w:r>
    </w:p>
    <w:p>
      <w:pPr>
        <w:pStyle w:val="TextBody"/>
        <w:bidi w:val="0"/>
        <w:spacing w:before="0" w:after="0"/>
        <w:ind w:left="4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45" w:right="0" w:hanging="0"/>
        <w:jc w:val="left"/>
        <w:rPr>
          <w:caps w:val="false"/>
          <w:smallCaps w:val="false"/>
        </w:rPr>
      </w:pPr>
      <w:r>
        <w:rPr>
          <w:caps w:val="false"/>
          <w:smallCaps w:val="false"/>
        </w:rPr>
        <w:t> </w:t>
      </w:r>
    </w:p>
    <w:tbl>
      <w:tblPr>
        <w:tblW w:w="4689" w:type="dxa"/>
        <w:jc w:val="left"/>
        <w:tblInd w:w="0" w:type="dxa"/>
        <w:tblLayout w:type="fixed"/>
        <w:tblCellMar>
          <w:top w:w="0" w:type="dxa"/>
          <w:left w:w="0" w:type="dxa"/>
          <w:bottom w:w="0" w:type="dxa"/>
          <w:right w:w="0" w:type="dxa"/>
        </w:tblCellMar>
      </w:tblPr>
      <w:tblGrid>
        <w:gridCol w:w="1625"/>
        <w:gridCol w:w="668"/>
        <w:gridCol w:w="2396"/>
      </w:tblGrid>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0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0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2026</w:t>
            </w:r>
          </w:p>
        </w:tc>
        <w:tc>
          <w:tcPr>
            <w:tcW w:w="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9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Koh Kuan Hua</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3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Koh Kuan Hua</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45"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45"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3820" w:type="dxa"/>
        <w:jc w:val="left"/>
        <w:tblInd w:w="0" w:type="dxa"/>
        <w:tblLayout w:type="fixed"/>
        <w:tblCellMar>
          <w:top w:w="0" w:type="dxa"/>
          <w:left w:w="0" w:type="dxa"/>
          <w:bottom w:w="28" w:type="dxa"/>
          <w:right w:w="0" w:type="dxa"/>
        </w:tblCellMar>
      </w:tblPr>
      <w:tblGrid>
        <w:gridCol w:w="995"/>
        <w:gridCol w:w="60"/>
        <w:gridCol w:w="2765"/>
      </w:tblGrid>
      <w:tr>
        <w:trPr/>
        <w:tc>
          <w:tcPr>
            <w:tcW w:w="99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6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65" w:type="dxa"/>
            <w:tcBorders/>
            <w:shd w:fill="CCEE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July 31, 2026</w:t>
              </w:r>
            </w:hyperlink>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2" w:name="ex99-1.htm"/>
      <w:bookmarkStart w:id="3" w:name="ksex991"/>
      <w:bookmarkEnd w:id="2"/>
      <w:bookmarkEnd w:id="3"/>
      <w:r>
        <w:rPr/>
        <w:t> </w:t>
      </w:r>
      <w:r>
        <w:br w:type="page"/>
      </w:r>
    </w:p>
    <w:p>
      <w:pPr>
        <w:pStyle w:val="TextBody"/>
        <w:bidi w:val="0"/>
        <w:jc w:val="right"/>
        <w:rPr>
          <w:rFonts w:ascii="Times New Roman;Times;Serif" w:hAnsi="Times New Roman;Times;Serif"/>
          <w:b/>
          <w:sz w:val="20"/>
        </w:rPr>
      </w:pPr>
      <w:r>
        <w:rPr>
          <w:rFonts w:ascii="Times New Roman;Times;Serif" w:hAnsi="Times New Roman;Times;Serif"/>
          <w:b/>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Announces Receipt of Nasdaq Notification Letter Regarding Minimum Price Deficiency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SINGAPORE – July 31, 2026</w:t>
      </w:r>
      <w:r>
        <w:rPr>
          <w:rFonts w:ascii="Times New Roman;Times;Serif" w:hAnsi="Times New Roman;Times;Serif"/>
          <w:b w:val="false"/>
          <w:i w:val="false"/>
          <w:caps w:val="false"/>
          <w:smallCaps w:val="false"/>
          <w:sz w:val="20"/>
        </w:rPr>
        <w:t xml:space="preserve"> - Uni-Fuels Holdings Limited (“Uni-Fuels” or the “Company”) (Nasdaq: UFG), a global provider of marine fuel solutions headquartered in Singapore, today announced that it received a notification letter from The Nasdaq Stock Market LLC (“Nasdaq”) dated July 27, 2026, notifying the Company that it is not in compliance with the requirement to maintain a minimum closing bid price of $1 per share, as set forth in Nasdaq Listing Rule 5550(a)(2), because the closing bid price of the Company’s class A ordinary shares was below $1 per share for the last 30 consecutive business days (i.e. from June 11, 2026 to July 24, 2026). The Nasdaq Letter is only a notification of deficiency. It does not result in the immediate delisting and has no current effect on the listing or trading of the Company’s class A ordinary shares on the Nasdaq Capital Market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Nasdaq Listing Rule 5810(c)(3)(A), the Company has 180 calendar days, or until January 25, 2027 (the “Compliance Period”), to regain compliance with the minimum bid price requirement. To regain compliance with the minimum bid price requirement, the closing bid price of the Company’s class A ordinary shares must be at least $1.00 per share for a minimum of 10 consecutive business days at any time prior to the expiration of Compliance Period. If the Company regains compliance with the minimum bid price requirement within the Compliance Period, Nasdaq will provide the Company with written confirmation and will close the matter. If the Company chooses to implement a reverse stock split, it must complete the split no later than ten business days prior to January 25, 2027 in order to regain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does not regain compliance by January 25, 2027, the Company may be eligible for an additional 180 calendar day compliance period. To qualify, the Company will be required to meet the continued listing requirement for market value of publicly held shares and all other initial listing standards for the Nasdaq Capital Market, with the exception of the bid price requirement, and will need to provide written notice of its intention to cure the deficiency during the second compliance period, by effecting a reverse stock split, if necessary. If the Company meets these requirements, Nasdaq will inform the Company that it has been granted an additional 180 calendar days. However, if it appears to Nasdaq that the Company will not be able to cure the deficiency, or if the Company is otherwise not eligible, Nasdaq will provide notice that its securities will be subject to delisting.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monitoring the closing bid price of its class A ordinary shares and evaluating options to regain compliance with the minimum bid price requirement, including by effecting a reverse stock split, if necessary. However, there can be no assurance that the Company will be able to timely regain or maintain compliance with Nasdaq’s continued listing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Uni-Fuels Holdings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Uni-Fuels is a fast-growing global provider of marine fuel solutions with a growing presence across major shipping hubs, including Singapore, Seoul, Dubai, Shanghai, Limassol, and Bangkok. Established in 2021, Uni-Fuels has evolved into a dynamic, forward-thinking company delivering customer-centric, compliant, and reliable fuel solutions across global markets and time zones, supported by 24/7 operational support year-round. Backed by a globally integrated operating platform, experienced industry professionals, and an extensive global supply network, Uni-Fuels has built trusted partnerships with customers, supporting them in achieving their operational objectives and decarbonization goals amid the maritime industry’s ongoing energy transformation.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visit www.uni-fuels.com.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within the meaning of Section 27A of the Securities Act of 1933, as amended, and Section 21E of the Securities Exchange Act of 1934, as amended. Forward-looking statements generally are accompanied by words such as “believe,” “may,” “will,” “estimate,” “continue,” “anticipate,” “intend,” “expect,” “should” “would,” “plan,” “future,” “outlook,” and similar expressions that predict or indicate future events or trends or that are not statements of historical matters, but the absence of these words does not mean that a statement is not forward-looking. These forward-looking statements include, but are not limited to, statements regarding estimates and forecasts of other performance metrics and projections of market opportunity. These statements are based on various assumptions, whether or not identified in this communication and on the current expectations of Uni-Fuels’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Uni-Fuels. Some important factors that could cause actual results to differ materially from those in any forward-looking statements could include changes in domestic and foreign business, market, financial, political and legal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risks materialize or Uni-Fuels’ assumptions prove incorrect, actual results could differ materially from the results implied by these forward-looking statements. There may be additional risks that Uni-Fuels does not presently know, or that Uni-Fuels currently believes are immaterial that could also cause actual results to differ from those contained in the forward- looking statements. In addition, forward-looking statements reflect Uni-Fuels’ current expectations, plans and forecasts of future events and views as of the date hereof. Nothing in this communication should be regarded as a representation by any person that the forward- 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and the risk factors of Uni-Fuels described in its Form 20-F initially filed with the SEC, as amended, including those under “Risk Factors” therein. Uni-Fuels anticipates that subsequent events and developments will cause its assessments to change. However, while Uni-Fuels may elect to update these forward-looking statements at some point in the future, Uni-Fuels specifically disclaims any obligation to do so, except as required by law. These forward-looking statements should not be relied upon as representing Uni-Fuels’ assessments as of any date subsequent to the date of this communication. Accordingly, undue reliance should not be placed upon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Uni-Fuels Holdings Limited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investors@uni-fuels.com</w:t>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1766</Words>
  <Characters>9677</Characters>
  <CharactersWithSpaces>11450</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